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22BC5" w14:textId="77777777" w:rsidR="00765C32" w:rsidRPr="00765C32" w:rsidRDefault="00765C32" w:rsidP="00675F64">
      <w:pPr>
        <w:spacing w:line="360" w:lineRule="auto"/>
        <w:jc w:val="center"/>
        <w:rPr>
          <w:rFonts w:asciiTheme="majorBidi" w:hAnsiTheme="majorBidi" w:cstheme="majorBidi"/>
          <w:b/>
          <w:bCs/>
          <w:sz w:val="24"/>
          <w:szCs w:val="24"/>
        </w:rPr>
      </w:pPr>
      <w:r w:rsidRPr="00765C32">
        <w:rPr>
          <w:rFonts w:asciiTheme="majorBidi" w:hAnsiTheme="majorBidi" w:cstheme="majorBidi"/>
          <w:b/>
          <w:bCs/>
          <w:sz w:val="24"/>
          <w:szCs w:val="24"/>
          <w:rtl/>
        </w:rPr>
        <w:t>כשהמילה נשארת באוויר</w:t>
      </w:r>
    </w:p>
    <w:p w14:paraId="2805F8CA" w14:textId="77777777" w:rsidR="00765C32" w:rsidRPr="00765C32" w:rsidRDefault="00765C32" w:rsidP="00765C32">
      <w:pPr>
        <w:spacing w:line="360" w:lineRule="auto"/>
        <w:rPr>
          <w:rFonts w:asciiTheme="majorBidi" w:hAnsiTheme="majorBidi" w:cstheme="majorBidi"/>
          <w:sz w:val="24"/>
          <w:szCs w:val="24"/>
          <w:rtl/>
        </w:rPr>
      </w:pPr>
      <w:r w:rsidRPr="00765C32">
        <w:rPr>
          <w:rFonts w:asciiTheme="majorBidi" w:hAnsiTheme="majorBidi" w:cstheme="majorBidi"/>
          <w:sz w:val="24"/>
          <w:szCs w:val="24"/>
          <w:rtl/>
        </w:rPr>
        <w:t>בריונות ברשת בחברה החרדית: מה קורה כשהפגיעה עוברת מן החצר אל המסך — ולמה דווקא הקהילה שלנו יכולה להיות הפתרון</w:t>
      </w:r>
    </w:p>
    <w:p w14:paraId="08261728" w14:textId="6918DFED" w:rsidR="00765C32" w:rsidRPr="00765C32" w:rsidRDefault="00765C32" w:rsidP="00765C32">
      <w:pPr>
        <w:spacing w:line="360" w:lineRule="auto"/>
        <w:rPr>
          <w:rFonts w:asciiTheme="majorBidi" w:hAnsiTheme="majorBidi" w:cstheme="majorBidi"/>
          <w:i/>
          <w:iCs/>
          <w:sz w:val="24"/>
          <w:szCs w:val="24"/>
          <w:rtl/>
        </w:rPr>
      </w:pPr>
      <w:r w:rsidRPr="00765C32">
        <w:rPr>
          <w:rFonts w:asciiTheme="majorBidi" w:hAnsiTheme="majorBidi" w:cstheme="majorBidi"/>
          <w:i/>
          <w:iCs/>
          <w:sz w:val="24"/>
          <w:szCs w:val="24"/>
          <w:rtl/>
        </w:rPr>
        <w:t>פרטי הכותבת: חוה סלומון</w:t>
      </w:r>
    </w:p>
    <w:p w14:paraId="6C1F4455" w14:textId="647BD064" w:rsidR="00765C32" w:rsidRPr="00765C32" w:rsidRDefault="009B6E90" w:rsidP="00765C32">
      <w:pPr>
        <w:spacing w:line="360" w:lineRule="auto"/>
        <w:rPr>
          <w:rFonts w:asciiTheme="majorBidi" w:hAnsiTheme="majorBidi" w:cstheme="majorBidi"/>
          <w:i/>
          <w:iCs/>
          <w:sz w:val="24"/>
          <w:szCs w:val="24"/>
          <w:rtl/>
        </w:rPr>
      </w:pPr>
      <w:r>
        <w:rPr>
          <w:rFonts w:asciiTheme="majorBidi" w:hAnsiTheme="majorBidi" w:cstheme="majorBidi"/>
          <w:i/>
          <w:iCs/>
          <w:sz w:val="24"/>
          <w:szCs w:val="24"/>
        </w:rPr>
        <w:t xml:space="preserve"> B.A. </w:t>
      </w:r>
      <w:r w:rsidR="00765C32" w:rsidRPr="00765C32">
        <w:rPr>
          <w:rFonts w:asciiTheme="majorBidi" w:hAnsiTheme="majorBidi" w:cstheme="majorBidi"/>
          <w:i/>
          <w:iCs/>
          <w:sz w:val="24"/>
          <w:szCs w:val="24"/>
        </w:rPr>
        <w:t xml:space="preserve"> </w:t>
      </w:r>
      <w:r w:rsidR="00765C32" w:rsidRPr="00765C32">
        <w:rPr>
          <w:rFonts w:asciiTheme="majorBidi" w:hAnsiTheme="majorBidi" w:cstheme="majorBidi"/>
          <w:i/>
          <w:iCs/>
          <w:sz w:val="24"/>
          <w:szCs w:val="24"/>
          <w:rtl/>
        </w:rPr>
        <w:t>בחינוך</w:t>
      </w:r>
    </w:p>
    <w:p w14:paraId="17C866DD" w14:textId="47EF50E0" w:rsidR="00765C32" w:rsidRPr="00765C32" w:rsidRDefault="00765C32" w:rsidP="00765C32">
      <w:pPr>
        <w:spacing w:line="360" w:lineRule="auto"/>
        <w:rPr>
          <w:rFonts w:asciiTheme="majorBidi" w:hAnsiTheme="majorBidi" w:cstheme="majorBidi"/>
          <w:i/>
          <w:iCs/>
          <w:sz w:val="24"/>
          <w:szCs w:val="24"/>
          <w:rtl/>
        </w:rPr>
      </w:pPr>
      <w:r w:rsidRPr="00765C32">
        <w:rPr>
          <w:rFonts w:asciiTheme="majorBidi" w:hAnsiTheme="majorBidi" w:cstheme="majorBidi"/>
          <w:i/>
          <w:iCs/>
          <w:sz w:val="24"/>
          <w:szCs w:val="24"/>
          <w:rtl/>
        </w:rPr>
        <w:t>מורה ועוסקת בנוער בסיכון</w:t>
      </w:r>
      <w:r w:rsidR="009B6E90">
        <w:rPr>
          <w:rFonts w:asciiTheme="majorBidi" w:hAnsiTheme="majorBidi" w:cstheme="majorBidi" w:hint="cs"/>
          <w:i/>
          <w:iCs/>
          <w:sz w:val="24"/>
          <w:szCs w:val="24"/>
          <w:rtl/>
        </w:rPr>
        <w:t xml:space="preserve">, מלמדת </w:t>
      </w:r>
      <w:proofErr w:type="spellStart"/>
      <w:r w:rsidR="009B6E90">
        <w:rPr>
          <w:rFonts w:asciiTheme="majorBidi" w:hAnsiTheme="majorBidi" w:cstheme="majorBidi" w:hint="cs"/>
          <w:i/>
          <w:iCs/>
          <w:sz w:val="24"/>
          <w:szCs w:val="24"/>
          <w:rtl/>
        </w:rPr>
        <w:t>בתכנית</w:t>
      </w:r>
      <w:proofErr w:type="spellEnd"/>
      <w:r w:rsidR="009B6E90">
        <w:rPr>
          <w:rFonts w:asciiTheme="majorBidi" w:hAnsiTheme="majorBidi" w:cstheme="majorBidi" w:hint="cs"/>
          <w:i/>
          <w:iCs/>
          <w:sz w:val="24"/>
          <w:szCs w:val="24"/>
          <w:rtl/>
        </w:rPr>
        <w:t xml:space="preserve"> "הנני" להסברה בעניין הטכנולוגיה ומתן כלים להתמודדות.</w:t>
      </w:r>
    </w:p>
    <w:p w14:paraId="382129CE" w14:textId="709D7D7F"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i/>
          <w:iCs/>
          <w:sz w:val="24"/>
          <w:szCs w:val="24"/>
          <w:rtl/>
        </w:rPr>
        <w:t>053-3115088</w:t>
      </w:r>
    </w:p>
    <w:p w14:paraId="38530EBB" w14:textId="77777777" w:rsidR="00765C32" w:rsidRPr="00765C32" w:rsidRDefault="00765C32" w:rsidP="00765C32">
      <w:pPr>
        <w:spacing w:line="360" w:lineRule="auto"/>
        <w:rPr>
          <w:rFonts w:asciiTheme="majorBidi" w:hAnsiTheme="majorBidi" w:cstheme="majorBidi" w:hint="cs"/>
          <w:b/>
          <w:bCs/>
          <w:sz w:val="24"/>
          <w:szCs w:val="24"/>
          <w:rtl/>
        </w:rPr>
      </w:pPr>
      <w:r w:rsidRPr="00765C32">
        <w:rPr>
          <w:rFonts w:asciiTheme="majorBidi" w:hAnsiTheme="majorBidi" w:cstheme="majorBidi"/>
          <w:b/>
          <w:bCs/>
          <w:sz w:val="24"/>
          <w:szCs w:val="24"/>
          <w:rtl/>
        </w:rPr>
        <w:t>פתיחה</w:t>
      </w:r>
    </w:p>
    <w:p w14:paraId="6568F46C"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כשאדם יושב בביתו, לבדו, מול מסך קטן, ואלמוני שולח לו מילה אחת — "יא משוגע" או "אתה דפוק" — וכותב אותה בקבוצה של שלוש מאות חברים, אין כאן לא מכות ולא צעקות. ובכל זאת הילד הזה לא יישן הלילה. הוא יפחד לצאת לחצר, הוא יתבייש ללכת לבית הכנסת, והוא עלול לשתוק שבועות מספר ולא לספר להוריו מה קרה לו. על פניו, מדובר בדבר פעוט. אך חז"ל לימדונו שהמבייש את חברו ברבים — הרי הוא כשופך דמו</w:t>
      </w:r>
      <w:r w:rsidRPr="00765C32">
        <w:rPr>
          <w:rFonts w:asciiTheme="majorBidi" w:hAnsiTheme="majorBidi" w:cstheme="majorBidi"/>
          <w:sz w:val="24"/>
          <w:szCs w:val="24"/>
        </w:rPr>
        <w:t>.</w:t>
      </w:r>
    </w:p>
    <w:p w14:paraId="0675C0EF"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מאמר זה מבקש לבחון את תופעת הבריונות ברשת מנקודת מבט קהילתית — לא כבעיה טכנית של מכשירים ופלטפורמות, אלא כבעיה חברתית וערכית. הטענה המרכזית היא שהפגיעה המקוונת חזקה יותר דווקא בחברה מגובשת כמו שלנו, אך בו בזמן דווקא בחברה כזו קיימים הכלים הייחודיים להתמודדות עמה — אם נדע להפעיל אותם</w:t>
      </w:r>
      <w:r w:rsidRPr="00765C32">
        <w:rPr>
          <w:rFonts w:asciiTheme="majorBidi" w:hAnsiTheme="majorBidi" w:cstheme="majorBidi"/>
          <w:sz w:val="24"/>
          <w:szCs w:val="24"/>
        </w:rPr>
        <w:t>.</w:t>
      </w:r>
    </w:p>
    <w:p w14:paraId="6E77414D"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מה השתנה כשעברנו לרשת</w:t>
      </w:r>
    </w:p>
    <w:p w14:paraId="701114D1"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בריונות בין ילדים אינה תופעה חדשה. אך בריונות ברשת שונה ממנה באופן מהותי, ולא רק במידת הנזק אלא גם בטיבו. הראשון שבהם: אנונימיות הפוגע. הפוגע אינו צריך לעמוד מול קורבנו, אינו רואה את עיניו, ואינו חש את מבוכתו של הנפגע. המרחק הפיזי והווירטואלי מאפשר לו לומר דברים שלא היה מעז לומר פנים אל פנים. במחקר מקיף שפורסם בשנת 2020 בכתב העת</w:t>
      </w:r>
      <w:r w:rsidRPr="00765C32">
        <w:rPr>
          <w:rFonts w:asciiTheme="majorBidi" w:hAnsiTheme="majorBidi" w:cstheme="majorBidi"/>
          <w:sz w:val="24"/>
          <w:szCs w:val="24"/>
        </w:rPr>
        <w:t xml:space="preserve"> Current Pediatrics Reports, </w:t>
      </w:r>
      <w:r w:rsidRPr="00765C32">
        <w:rPr>
          <w:rFonts w:asciiTheme="majorBidi" w:hAnsiTheme="majorBidi" w:cstheme="majorBidi"/>
          <w:sz w:val="24"/>
          <w:szCs w:val="24"/>
          <w:rtl/>
        </w:rPr>
        <w:t>מציינים</w:t>
      </w:r>
      <w:r w:rsidRPr="00765C32">
        <w:rPr>
          <w:rFonts w:asciiTheme="majorBidi" w:hAnsiTheme="majorBidi" w:cstheme="majorBidi"/>
          <w:sz w:val="24"/>
          <w:szCs w:val="24"/>
        </w:rPr>
        <w:t xml:space="preserve"> Kumar </w:t>
      </w:r>
      <w:r w:rsidRPr="00765C32">
        <w:rPr>
          <w:rFonts w:asciiTheme="majorBidi" w:hAnsiTheme="majorBidi" w:cstheme="majorBidi"/>
          <w:sz w:val="24"/>
          <w:szCs w:val="24"/>
          <w:rtl/>
        </w:rPr>
        <w:t>ו־</w:t>
      </w:r>
      <w:r w:rsidRPr="00765C32">
        <w:rPr>
          <w:rFonts w:asciiTheme="majorBidi" w:hAnsiTheme="majorBidi" w:cstheme="majorBidi"/>
          <w:sz w:val="24"/>
          <w:szCs w:val="24"/>
        </w:rPr>
        <w:t xml:space="preserve">Goldstein </w:t>
      </w:r>
      <w:r w:rsidRPr="00765C32">
        <w:rPr>
          <w:rFonts w:asciiTheme="majorBidi" w:hAnsiTheme="majorBidi" w:cstheme="majorBidi"/>
          <w:sz w:val="24"/>
          <w:szCs w:val="24"/>
          <w:rtl/>
        </w:rPr>
        <w:t>כי האנונימיות של הפוגע, הקהל הרחב הנחשף לתוכן, קביעות הפרסום באינטרנט, והיכולת לפגוע ללא תלות במרחק ובזמן — כל אלה מחריפים את חומרת הפגיעה המקוונת</w:t>
      </w:r>
      <w:r w:rsidRPr="00765C32">
        <w:rPr>
          <w:rFonts w:asciiTheme="majorBidi" w:hAnsiTheme="majorBidi" w:cstheme="majorBidi"/>
          <w:sz w:val="24"/>
          <w:szCs w:val="24"/>
        </w:rPr>
        <w:t>.</w:t>
      </w:r>
    </w:p>
    <w:p w14:paraId="5A587ADA"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השני: קביעות הפרסום. דבר שנאמר בעל פה — נאמר ונמוג, ואולי יישכח. דבר שנכתב ופורסם נשאר. הוא ממשיך להתקיים גם כשהפוגע כבר שכח, גם כשעברו חודשים, גם כשהנפגע עבר כיתה או עיר. כך נמשכת הפגיעה הרבה מעבר לרגע שבו נעשתה, והילד אינו יכול להשאיר אותה מאחוריו</w:t>
      </w:r>
      <w:r w:rsidRPr="00765C32">
        <w:rPr>
          <w:rFonts w:asciiTheme="majorBidi" w:hAnsiTheme="majorBidi" w:cstheme="majorBidi"/>
          <w:sz w:val="24"/>
          <w:szCs w:val="24"/>
        </w:rPr>
        <w:t>.</w:t>
      </w:r>
    </w:p>
    <w:p w14:paraId="0F6DF0D0"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השלישי: הקהל. בעבר, לעג היה נשמע בין שניים או שלושה. כיום, הוא נחשף לעיני כל הקהילה — הכיתה, השכונה, הקבוצה. ובעבור נער או נערה, להיות מושפל לעיני כל מכריו אינו עניין של רגע אחד, </w:t>
      </w:r>
      <w:r w:rsidRPr="00765C32">
        <w:rPr>
          <w:rFonts w:asciiTheme="majorBidi" w:hAnsiTheme="majorBidi" w:cstheme="majorBidi"/>
          <w:sz w:val="24"/>
          <w:szCs w:val="24"/>
          <w:rtl/>
        </w:rPr>
        <w:lastRenderedPageBreak/>
        <w:t>אלא של זהות שלמה שנפגעת. בנעורים, כאשר האדם מעצב את מקומו בחברה, פגיעה שכזו אינה פוגעת רק ברגע הנוכחי אלא בתפיסה העצמית כולה</w:t>
      </w:r>
      <w:r w:rsidRPr="00765C32">
        <w:rPr>
          <w:rFonts w:asciiTheme="majorBidi" w:hAnsiTheme="majorBidi" w:cstheme="majorBidi"/>
          <w:sz w:val="24"/>
          <w:szCs w:val="24"/>
        </w:rPr>
        <w:t>.</w:t>
      </w:r>
    </w:p>
    <w:p w14:paraId="07BC1975" w14:textId="77777777" w:rsidR="00765C32" w:rsidRPr="00765C32" w:rsidRDefault="00765C32" w:rsidP="00765C32">
      <w:pPr>
        <w:spacing w:line="360" w:lineRule="auto"/>
        <w:rPr>
          <w:rFonts w:asciiTheme="majorBidi" w:hAnsiTheme="majorBidi" w:cstheme="majorBidi"/>
          <w:sz w:val="24"/>
          <w:szCs w:val="24"/>
        </w:rPr>
      </w:pPr>
      <w:proofErr w:type="spellStart"/>
      <w:r w:rsidRPr="00765C32">
        <w:rPr>
          <w:rFonts w:asciiTheme="majorBidi" w:hAnsiTheme="majorBidi" w:cstheme="majorBidi"/>
          <w:sz w:val="24"/>
          <w:szCs w:val="24"/>
          <w:rtl/>
        </w:rPr>
        <w:t>וראשון־ראשון</w:t>
      </w:r>
      <w:proofErr w:type="spellEnd"/>
      <w:r w:rsidRPr="00765C32">
        <w:rPr>
          <w:rFonts w:asciiTheme="majorBidi" w:hAnsiTheme="majorBidi" w:cstheme="majorBidi"/>
          <w:sz w:val="24"/>
          <w:szCs w:val="24"/>
          <w:rtl/>
        </w:rPr>
        <w:t xml:space="preserve"> חבוי לעתים דווקא בפן הטכני: הורים רבים אינם מכירים את הכלים שבהם ילדיהם משתמשים, ואינם ערים לכך שקבוצה סגורה לכאורה נגישה לעשרות ולמאות אנשים, ושתמונה אחת שמופצת אינה ניתנת עוד לשליטה. פער הידע הזה בין ההורים לילדים הוא אחת החוליות החלשות ביותר במערך ההגנה על הנער</w:t>
      </w:r>
      <w:r w:rsidRPr="00765C32">
        <w:rPr>
          <w:rFonts w:asciiTheme="majorBidi" w:hAnsiTheme="majorBidi" w:cstheme="majorBidi"/>
          <w:sz w:val="24"/>
          <w:szCs w:val="24"/>
        </w:rPr>
        <w:t>.</w:t>
      </w:r>
    </w:p>
    <w:p w14:paraId="56295254"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מה המחקר מגלה על הנזק</w:t>
      </w:r>
    </w:p>
    <w:p w14:paraId="0A483C88"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הממצאים אינם מותירים מקום לספק. על פי</w:t>
      </w:r>
      <w:r w:rsidRPr="00765C32">
        <w:rPr>
          <w:rFonts w:asciiTheme="majorBidi" w:hAnsiTheme="majorBidi" w:cstheme="majorBidi"/>
          <w:sz w:val="24"/>
          <w:szCs w:val="24"/>
        </w:rPr>
        <w:t xml:space="preserve"> Kumar </w:t>
      </w:r>
      <w:r w:rsidRPr="00765C32">
        <w:rPr>
          <w:rFonts w:asciiTheme="majorBidi" w:hAnsiTheme="majorBidi" w:cstheme="majorBidi"/>
          <w:sz w:val="24"/>
          <w:szCs w:val="24"/>
          <w:rtl/>
        </w:rPr>
        <w:t>ו־</w:t>
      </w:r>
      <w:r w:rsidRPr="00765C32">
        <w:rPr>
          <w:rFonts w:asciiTheme="majorBidi" w:hAnsiTheme="majorBidi" w:cstheme="majorBidi"/>
          <w:sz w:val="24"/>
          <w:szCs w:val="24"/>
        </w:rPr>
        <w:t xml:space="preserve">Goldstein (2020), </w:t>
      </w:r>
      <w:r w:rsidRPr="00765C32">
        <w:rPr>
          <w:rFonts w:asciiTheme="majorBidi" w:hAnsiTheme="majorBidi" w:cstheme="majorBidi"/>
          <w:sz w:val="24"/>
          <w:szCs w:val="24"/>
          <w:rtl/>
        </w:rPr>
        <w:t>נפגעי בריונות ברשת סובלים משיעורים גבוהים יותר של דיכאון, חרדה ומחשבות אובדניות, בהשוואה לנפגעים של בריונות "מסורתית". הם מדווחים על כאבי בטן חוזרים, כאבי ראש והפרעות בשינה. חלק מהמחקרים מצביעים על כך שנפגעים שהם גם פוגעים — קבוצה נפרדת ומובחנת — מצויים בסיכון הגבוה ביותר לבעיות נפשיות. כן נמצא כי נפגעים עלולים להסתגר, לאבד אמון בחבריהם, ולחוש בדידות גוברת</w:t>
      </w:r>
      <w:r w:rsidRPr="00765C32">
        <w:rPr>
          <w:rFonts w:asciiTheme="majorBidi" w:hAnsiTheme="majorBidi" w:cstheme="majorBidi"/>
          <w:sz w:val="24"/>
          <w:szCs w:val="24"/>
        </w:rPr>
        <w:t>.</w:t>
      </w:r>
    </w:p>
    <w:p w14:paraId="1046E2FC"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והנה הנקודה המרכזית ביותר, זו שממנה נובע כל המשך המאמר: רבים מהנפגעים שותקים. במאמר נאמר במפורש כי חרף הנזקים הכבדים, נפגעים רבים נשארים בשתיקה ונמנעים מלבקש עזרה. על כן, האחריות עוברת לסביבה — להורים, למחנכים, למורים ולכל מי שיש לו קשר עם הנער או הנערה. המחקר ממליץ על סקר שיטתי לאיתור נפגעים, ומציין שתמיכה חברתית — מן המשפחה, מן החברים ומן המורים — משמשת חוצץ מפני נזקי הבריונות</w:t>
      </w:r>
      <w:r w:rsidRPr="00765C32">
        <w:rPr>
          <w:rFonts w:asciiTheme="majorBidi" w:hAnsiTheme="majorBidi" w:cstheme="majorBidi"/>
          <w:sz w:val="24"/>
          <w:szCs w:val="24"/>
        </w:rPr>
        <w:t>.</w:t>
      </w:r>
    </w:p>
    <w:p w14:paraId="0A7E8C28"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מה מלמדים אותנו הנתונים על הציבור שלנו</w:t>
      </w:r>
    </w:p>
    <w:p w14:paraId="33D38D42"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סקר מוגנות האינטרנט של איגוד האינטרנט הישראלי (2024), שנערך בקרב מדגם מייצג של כאלף גולשים, מספק תמונה מפורטת של השיח האלים ברשת בישראל, ובכללה נתונים נפרדים על החברה </w:t>
      </w:r>
      <w:proofErr w:type="spellStart"/>
      <w:r w:rsidRPr="00765C32">
        <w:rPr>
          <w:rFonts w:asciiTheme="majorBidi" w:hAnsiTheme="majorBidi" w:cstheme="majorBidi"/>
          <w:sz w:val="24"/>
          <w:szCs w:val="24"/>
          <w:rtl/>
        </w:rPr>
        <w:t>היהודית־חרדית</w:t>
      </w:r>
      <w:proofErr w:type="spellEnd"/>
      <w:r w:rsidRPr="00765C32">
        <w:rPr>
          <w:rFonts w:asciiTheme="majorBidi" w:hAnsiTheme="majorBidi" w:cstheme="majorBidi"/>
          <w:sz w:val="24"/>
          <w:szCs w:val="24"/>
          <w:rtl/>
        </w:rPr>
        <w:t>. שלושה ממצאים מן הסקר נוגעים במישרין לנושא המאמר</w:t>
      </w:r>
      <w:r w:rsidRPr="00765C32">
        <w:rPr>
          <w:rFonts w:asciiTheme="majorBidi" w:hAnsiTheme="majorBidi" w:cstheme="majorBidi"/>
          <w:sz w:val="24"/>
          <w:szCs w:val="24"/>
        </w:rPr>
        <w:t>.</w:t>
      </w:r>
    </w:p>
    <w:p w14:paraId="55DEF5B1"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הראשון: סוג הפגיעה הנפוץ. מרבית המשתתפים (64%) דירגו תגובות מעליבות או משפילות במטרה לפגוע בקבוצה או באדם כביטוי האלים השכיח ביותר ברשת. אך כאשר בוחנים את החברה החרדית בפרט, מתגלה תמונה שונה במקצת: 41% מבני החברה </w:t>
      </w:r>
      <w:proofErr w:type="spellStart"/>
      <w:r w:rsidRPr="00765C32">
        <w:rPr>
          <w:rFonts w:asciiTheme="majorBidi" w:hAnsiTheme="majorBidi" w:cstheme="majorBidi"/>
          <w:sz w:val="24"/>
          <w:szCs w:val="24"/>
          <w:rtl/>
        </w:rPr>
        <w:t>היהודית־חרדית</w:t>
      </w:r>
      <w:proofErr w:type="spellEnd"/>
      <w:r w:rsidRPr="00765C32">
        <w:rPr>
          <w:rFonts w:asciiTheme="majorBidi" w:hAnsiTheme="majorBidi" w:cstheme="majorBidi"/>
          <w:sz w:val="24"/>
          <w:szCs w:val="24"/>
          <w:rtl/>
        </w:rPr>
        <w:t xml:space="preserve"> דיווחו כי חרם מהווה פגיעה שכיחה במיוחד ברשת, לעומת 15% בלבד מבני החברה הערבית, ורק 38.2% מבני החברה החרדית סימנו את הפצת המדיה האישית המביכה כפגיעה שכיחה. כלומר, הפגיעה המרכזית שמזוהה בציבור שלנו אינה דווקא ההשפלה הפומבית, אלא החרם — ההוצאה מן הקבוצה</w:t>
      </w:r>
      <w:r w:rsidRPr="00765C32">
        <w:rPr>
          <w:rFonts w:asciiTheme="majorBidi" w:hAnsiTheme="majorBidi" w:cstheme="majorBidi"/>
          <w:sz w:val="24"/>
          <w:szCs w:val="24"/>
        </w:rPr>
        <w:t>.</w:t>
      </w:r>
    </w:p>
    <w:p w14:paraId="65846389"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והממצא הזה אינו מקרי. הוא מבטא את מהותו של המרקם החברתי שבו אנו חיים: חברה שבה השייכות היא נכס, ושבה ההוצאה מן הכלל היא פגיעה של ממש. עבור נער בחברה מגובשת, החרם אינו "רק" </w:t>
      </w:r>
      <w:proofErr w:type="spellStart"/>
      <w:r w:rsidRPr="00765C32">
        <w:rPr>
          <w:rFonts w:asciiTheme="majorBidi" w:hAnsiTheme="majorBidi" w:cstheme="majorBidi"/>
          <w:sz w:val="24"/>
          <w:szCs w:val="24"/>
          <w:rtl/>
        </w:rPr>
        <w:t>אי־הזמנה</w:t>
      </w:r>
      <w:proofErr w:type="spellEnd"/>
      <w:r w:rsidRPr="00765C32">
        <w:rPr>
          <w:rFonts w:asciiTheme="majorBidi" w:hAnsiTheme="majorBidi" w:cstheme="majorBidi"/>
          <w:sz w:val="24"/>
          <w:szCs w:val="24"/>
          <w:rtl/>
        </w:rPr>
        <w:t xml:space="preserve"> לאירוע; הוא מסר ברור על מקומו בעולם</w:t>
      </w:r>
      <w:r w:rsidRPr="00765C32">
        <w:rPr>
          <w:rFonts w:asciiTheme="majorBidi" w:hAnsiTheme="majorBidi" w:cstheme="majorBidi"/>
          <w:sz w:val="24"/>
          <w:szCs w:val="24"/>
        </w:rPr>
        <w:t>.</w:t>
      </w:r>
    </w:p>
    <w:p w14:paraId="22EB6F9D"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lastRenderedPageBreak/>
        <w:t>השני: התמודדות עם הפגיעה. מן הסקר עולה כי 59% מהמשיבים שנתקלו בשיח אלים כלפיהם מעידים על עצמם כי הם נמנעים מהבעת דעה ברשתות מתוך חשש מתגובה אלימה. עוד עולה ממנו כי רבים אינם מדווחים על תכנים פוגעניים — 63% מאלה שאינם משתמשים במנגנוני הדיווח אינם מאמינים ביכולתם של הפלטפורמות לסייע, ו־27% מהם פשוט אינם יודעים כיצד לדווח. וככל שהגיל עולה, כך יורד שיעור השימוש במנגנוני הדיווח</w:t>
      </w:r>
      <w:r w:rsidRPr="00765C32">
        <w:rPr>
          <w:rFonts w:asciiTheme="majorBidi" w:hAnsiTheme="majorBidi" w:cstheme="majorBidi"/>
          <w:sz w:val="24"/>
          <w:szCs w:val="24"/>
        </w:rPr>
        <w:t>.</w:t>
      </w:r>
    </w:p>
    <w:p w14:paraId="3D25A2A4"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הנתון הזה מחזק את הטענה המרכזית: הכלים הקיימים אינם מספקים, והפער בין הידע של הצעירים לידע של ההורים והמבוגרים הוא חלק מן הבעיה</w:t>
      </w:r>
      <w:r w:rsidRPr="00765C32">
        <w:rPr>
          <w:rFonts w:asciiTheme="majorBidi" w:hAnsiTheme="majorBidi" w:cstheme="majorBidi"/>
          <w:sz w:val="24"/>
          <w:szCs w:val="24"/>
        </w:rPr>
        <w:t>.</w:t>
      </w:r>
    </w:p>
    <w:p w14:paraId="67DD47CA"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השלישי: סדר העדיפויות הערכי. מן הסקר עולה כי 59.3% מן המשיבים מעדיפים את תחושת המוגנות באינטרנט על פני חופש הביטוי. ובקרב החברה </w:t>
      </w:r>
      <w:proofErr w:type="spellStart"/>
      <w:r w:rsidRPr="00765C32">
        <w:rPr>
          <w:rFonts w:asciiTheme="majorBidi" w:hAnsiTheme="majorBidi" w:cstheme="majorBidi"/>
          <w:sz w:val="24"/>
          <w:szCs w:val="24"/>
          <w:rtl/>
        </w:rPr>
        <w:t>היהודית־חרדית</w:t>
      </w:r>
      <w:proofErr w:type="spellEnd"/>
      <w:r w:rsidRPr="00765C32">
        <w:rPr>
          <w:rFonts w:asciiTheme="majorBidi" w:hAnsiTheme="majorBidi" w:cstheme="majorBidi"/>
          <w:sz w:val="24"/>
          <w:szCs w:val="24"/>
          <w:rtl/>
        </w:rPr>
        <w:t xml:space="preserve"> הנתון בולט במיוחד: 67.8% מהם מעדיפים את המוגנות על פני חופש הביטוי — השיעור הגבוה ביותר מבין הקבוצות שנבדקו. גם כאן יש מסר ברור: הציבור שלנו מוכן לשלם מחיר עבור סביבה בטוחה, ומצפה לכך שמנהיגיו ומוסדותיו ייתנו על כך את הדעת</w:t>
      </w:r>
      <w:r w:rsidRPr="00765C32">
        <w:rPr>
          <w:rFonts w:asciiTheme="majorBidi" w:hAnsiTheme="majorBidi" w:cstheme="majorBidi"/>
          <w:sz w:val="24"/>
          <w:szCs w:val="24"/>
        </w:rPr>
        <w:t>.</w:t>
      </w:r>
    </w:p>
    <w:p w14:paraId="2F1804E6"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מדוע השתיקה חזקה דווקא בקהילה שלנו</w:t>
      </w:r>
    </w:p>
    <w:p w14:paraId="4780B057"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כאן נכנסת נקודה שאינה מופיעה במחקרים האקדמיים, והיא לבו של המאמר הזה. השתיקה אינה תוצאה של בושה בלבד — היא תוצאה של מבנה חברתי. בחברה מגובשת, שבה לכולם יש שם, שבה כולם מכירים את כולם — הפגיעה אינה פוגעת רק בנער, אלא במשפחה כולה. הילד יודע שאם יספר, הדבר יעבור מפה לאוזן: אבא שלו, אמא שלו, האחים שלו — כולם ייפגעו. והחשש הזה ממשי כל כך, עד שלעתים הוא גובר על החשש מן הפגיעה עצמה</w:t>
      </w:r>
      <w:r w:rsidRPr="00765C32">
        <w:rPr>
          <w:rFonts w:asciiTheme="majorBidi" w:hAnsiTheme="majorBidi" w:cstheme="majorBidi"/>
          <w:sz w:val="24"/>
          <w:szCs w:val="24"/>
        </w:rPr>
        <w:t>.</w:t>
      </w:r>
    </w:p>
    <w:p w14:paraId="2EF9C9B5"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וזו בדיוק הבעיה שחז"ל הזהירו מפניה. החפץ חיים, בספרו "אהבת חסד", עוסק רבות בכוחו של הדיבור, ומייחס חשיבות מיוחדת למי שמנחם את חברו: "וחסד נוסף הוא כשרואה את חברו עצוב או דואג מחמת דלותו או מחמת צרה אחרת, אף אם אינו יכול לעזור לו בצרתו, מכל מקום מצוה לדבר אל ליבו ולהפיג דאגתו... וכבר אמרו חז"ל, הנותן פרוטה לעני מתברך בשש ברכות, והמפייסו בדברים מתברך באחת עשרה ברכות</w:t>
      </w:r>
      <w:r w:rsidRPr="00765C32">
        <w:rPr>
          <w:rFonts w:asciiTheme="majorBidi" w:hAnsiTheme="majorBidi" w:cstheme="majorBidi"/>
          <w:sz w:val="24"/>
          <w:szCs w:val="24"/>
        </w:rPr>
        <w:t>".</w:t>
      </w:r>
    </w:p>
    <w:p w14:paraId="3FBBDEE6"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כלומר, היכולת לסייע אינה מותנית ביכולת לפתור את הבעיה מבחינה טכנית. לעתים קרובות, מה שנדרש הוא רק לדבר אל הלב. ובחברה שבה כל מילה נשקלת, גם מילת נחמה אחת — מפי הורה, מחנך או חבר — יכולה לחולל שינוי של ממש. יתרה מכך, הדברים מלמדים אותנו על עוצמתה של המילה: אם מילה טובה שווה אחת עשרה ברכות, קל וחומר שמילה רעה בקבוצה של שלוש מאות איש אינה "סתם בדיחה</w:t>
      </w:r>
      <w:r w:rsidRPr="00765C32">
        <w:rPr>
          <w:rFonts w:asciiTheme="majorBidi" w:hAnsiTheme="majorBidi" w:cstheme="majorBidi"/>
          <w:sz w:val="24"/>
          <w:szCs w:val="24"/>
        </w:rPr>
        <w:t>".</w:t>
      </w:r>
    </w:p>
    <w:p w14:paraId="2562F599"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מה חסר לנו כקהילה</w:t>
      </w:r>
    </w:p>
    <w:p w14:paraId="6074B277" w14:textId="597AE1BD"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בנייר עמדה של הקליניקה למשפט וטכנולוגיה באוניברסיטת חיפה, שנערך עבור איגוד האינטרנט הישראלי (2015), נסק</w:t>
      </w:r>
      <w:r>
        <w:rPr>
          <w:rFonts w:asciiTheme="majorBidi" w:hAnsiTheme="majorBidi" w:cstheme="majorBidi" w:hint="cs"/>
          <w:sz w:val="24"/>
          <w:szCs w:val="24"/>
          <w:rtl/>
        </w:rPr>
        <w:t>ר</w:t>
      </w:r>
      <w:r w:rsidRPr="00765C32">
        <w:rPr>
          <w:rFonts w:asciiTheme="majorBidi" w:hAnsiTheme="majorBidi" w:cstheme="majorBidi"/>
          <w:sz w:val="24"/>
          <w:szCs w:val="24"/>
          <w:rtl/>
        </w:rPr>
        <w:t xml:space="preserve">ו דרכי ההתמודדות עם בריונות מקוונת בשמונה מדינות: ארה"ב (מיזורי </w:t>
      </w:r>
      <w:r w:rsidRPr="00765C32">
        <w:rPr>
          <w:rFonts w:asciiTheme="majorBidi" w:hAnsiTheme="majorBidi" w:cstheme="majorBidi"/>
          <w:sz w:val="24"/>
          <w:szCs w:val="24"/>
          <w:rtl/>
        </w:rPr>
        <w:lastRenderedPageBreak/>
        <w:t xml:space="preserve">ומסצ'וסטס), ניו זילנד, אוסטרליה, הולנד, בריטניה, קנדה וגרמניה. מן הסקירה עולה מסקנה מאלפת: בכל המדינות שנבדקו, לצד החקיקה, פועל מערך </w:t>
      </w:r>
      <w:proofErr w:type="spellStart"/>
      <w:r w:rsidRPr="00765C32">
        <w:rPr>
          <w:rFonts w:asciiTheme="majorBidi" w:hAnsiTheme="majorBidi" w:cstheme="majorBidi"/>
          <w:sz w:val="24"/>
          <w:szCs w:val="24"/>
          <w:rtl/>
        </w:rPr>
        <w:t>לא־משפטי</w:t>
      </w:r>
      <w:proofErr w:type="spellEnd"/>
      <w:r w:rsidRPr="00765C32">
        <w:rPr>
          <w:rFonts w:asciiTheme="majorBidi" w:hAnsiTheme="majorBidi" w:cstheme="majorBidi"/>
          <w:sz w:val="24"/>
          <w:szCs w:val="24"/>
          <w:rtl/>
        </w:rPr>
        <w:t xml:space="preserve"> רחב </w:t>
      </w:r>
      <w:r>
        <w:rPr>
          <w:rFonts w:asciiTheme="majorBidi" w:hAnsiTheme="majorBidi" w:cstheme="majorBidi" w:hint="cs"/>
          <w:sz w:val="24"/>
          <w:szCs w:val="24"/>
          <w:rtl/>
        </w:rPr>
        <w:t xml:space="preserve">. </w:t>
      </w:r>
      <w:r w:rsidRPr="00765C32">
        <w:rPr>
          <w:rFonts w:asciiTheme="majorBidi" w:hAnsiTheme="majorBidi" w:cstheme="majorBidi"/>
          <w:sz w:val="24"/>
          <w:szCs w:val="24"/>
          <w:rtl/>
        </w:rPr>
        <w:t xml:space="preserve">המדינות שהשקיעו דווקא במערך החינוכי ולא רק </w:t>
      </w:r>
      <w:proofErr w:type="spellStart"/>
      <w:r w:rsidRPr="00765C32">
        <w:rPr>
          <w:rFonts w:asciiTheme="majorBidi" w:hAnsiTheme="majorBidi" w:cstheme="majorBidi"/>
          <w:sz w:val="24"/>
          <w:szCs w:val="24"/>
          <w:rtl/>
        </w:rPr>
        <w:t>בעונשין</w:t>
      </w:r>
      <w:proofErr w:type="spellEnd"/>
      <w:r w:rsidRPr="00765C32">
        <w:rPr>
          <w:rFonts w:asciiTheme="majorBidi" w:hAnsiTheme="majorBidi" w:cstheme="majorBidi"/>
          <w:sz w:val="24"/>
          <w:szCs w:val="24"/>
          <w:rtl/>
        </w:rPr>
        <w:t xml:space="preserve"> הן אלה שהשיגו את ההישגים המשמעותיים ביותר</w:t>
      </w:r>
      <w:r w:rsidRPr="00765C32">
        <w:rPr>
          <w:rFonts w:asciiTheme="majorBidi" w:hAnsiTheme="majorBidi" w:cstheme="majorBidi"/>
          <w:sz w:val="24"/>
          <w:szCs w:val="24"/>
        </w:rPr>
        <w:t>.</w:t>
      </w:r>
    </w:p>
    <w:p w14:paraId="77EF6ECC"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עוד עולה מן הנייר — וזה העיקר — שהביקורת על חקיקה ייעודית לבריונות מקוונת מתמקדת בשני חששות: פגיעה בחופש הביטוי, ויצירת מערכת ביורוקרטית שאינה מועילה. בהולנד, למשל, נטען שהחוק אינו מבחין בין אלימות לאלימות מקוונת, ושהוא מוסיף ביורוקרטיה בלי לשפר את המצב בשטח. מכאן שהמסקנה ברורה: הפתרון אינו יכול להיות רק משפטי. הוא חייב להיות חינוכי וקהילתי</w:t>
      </w:r>
      <w:r w:rsidRPr="00765C32">
        <w:rPr>
          <w:rFonts w:asciiTheme="majorBidi" w:hAnsiTheme="majorBidi" w:cstheme="majorBidi"/>
          <w:sz w:val="24"/>
          <w:szCs w:val="24"/>
        </w:rPr>
        <w:t>.</w:t>
      </w:r>
    </w:p>
    <w:p w14:paraId="377A73B5"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מסקנה זו מקבלת חיזוק ממקור נוסף — נייר עמדה של מרכז המחקר והמידע של הכנסת (2015), המצביע על כך שבריונות מקוונת אינה תופעה ייחודית לישראל, אלא תופעה גלובלית. מן הנתונים המובאים שם עולה שבאוסטרליה, על פי מחקר שפורסם בשנת 2013, שיעור הבריונות בבתי הספר משפיע על כ־50% מהילדים, וכ־15% מהם דיווחו כי חוו בריונות ברשת. בניו זילנד, לעומת זאת, נמצאו אחוזים גבוהים של התאבדויות בקרב צעירים בגילי 10–24, כאשר בריונות בכלל ובריונות ברשת בפרט מהוות גורם אפשרי בהן</w:t>
      </w:r>
      <w:r w:rsidRPr="00765C32">
        <w:rPr>
          <w:rFonts w:asciiTheme="majorBidi" w:hAnsiTheme="majorBidi" w:cstheme="majorBidi"/>
          <w:sz w:val="24"/>
          <w:szCs w:val="24"/>
        </w:rPr>
        <w:t>.</w:t>
      </w:r>
    </w:p>
    <w:p w14:paraId="6FB5BA4C"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מה ניתן לעשות</w:t>
      </w:r>
    </w:p>
    <w:p w14:paraId="22236C4B"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מן המקורות שנסקרו עולות ארבע הצעות מעשיות, </w:t>
      </w:r>
      <w:r>
        <w:rPr>
          <w:rFonts w:asciiTheme="majorBidi" w:hAnsiTheme="majorBidi" w:cstheme="majorBidi" w:hint="cs"/>
          <w:sz w:val="24"/>
          <w:szCs w:val="24"/>
          <w:rtl/>
        </w:rPr>
        <w:t>זאת מלבד העובדה שהציבור החרדי ככלל נמנע ככל האפשר משימוש ברשת.</w:t>
      </w:r>
    </w:p>
    <w:p w14:paraId="29B8E3C1" w14:textId="5E7AE337" w:rsidR="00765C32" w:rsidRDefault="00765C32" w:rsidP="00765C32">
      <w:pPr>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 ההצעות </w:t>
      </w:r>
      <w:r w:rsidRPr="00765C32">
        <w:rPr>
          <w:rFonts w:asciiTheme="majorBidi" w:hAnsiTheme="majorBidi" w:cstheme="majorBidi"/>
          <w:sz w:val="24"/>
          <w:szCs w:val="24"/>
          <w:rtl/>
        </w:rPr>
        <w:t>המותאמות למציאות הקהילתית</w:t>
      </w:r>
      <w:r w:rsidRPr="00765C32">
        <w:rPr>
          <w:rFonts w:asciiTheme="majorBidi" w:hAnsiTheme="majorBidi" w:cstheme="majorBidi"/>
          <w:sz w:val="24"/>
          <w:szCs w:val="24"/>
        </w:rPr>
        <w:t>:</w:t>
      </w:r>
    </w:p>
    <w:p w14:paraId="35063D8D" w14:textId="6A4B2B46"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הראשונה — חינוך ולא רק ענישה</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כפי שעולה מן הסקירה ההשוואתית, התוכניות היעילות ביותר הן אלה הפועלות במסגרת החינוכית. יש להכניס לבתי הספר, לישיבות ולמוסדות החינוך שיחות שיטתיות על לשון הרע, על הלבנת פנים ועל גבולות השימוש ברשת</w:t>
      </w:r>
      <w:r>
        <w:rPr>
          <w:rFonts w:asciiTheme="majorBidi" w:hAnsiTheme="majorBidi" w:cstheme="majorBidi" w:hint="cs"/>
          <w:sz w:val="24"/>
          <w:szCs w:val="24"/>
          <w:rtl/>
        </w:rPr>
        <w:t>, או הימנעות בקהילות רבות בתוך הקהילה החרדית</w:t>
      </w:r>
      <w:r w:rsidRPr="00765C32">
        <w:rPr>
          <w:rFonts w:asciiTheme="majorBidi" w:hAnsiTheme="majorBidi" w:cstheme="majorBidi"/>
          <w:sz w:val="24"/>
          <w:szCs w:val="24"/>
          <w:rtl/>
        </w:rPr>
        <w:t xml:space="preserve"> — לא כהרצאה חד־פעמית, אלא כתהליך מתמשך</w:t>
      </w:r>
      <w:r w:rsidRPr="00765C32">
        <w:rPr>
          <w:rFonts w:asciiTheme="majorBidi" w:hAnsiTheme="majorBidi" w:cstheme="majorBidi"/>
          <w:sz w:val="24"/>
          <w:szCs w:val="24"/>
        </w:rPr>
        <w:t>.</w:t>
      </w:r>
    </w:p>
    <w:p w14:paraId="4B742D47"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השנייה — הכשרת ההורים לזהות את הסימנים</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המחקר מציין כי נפגעים נוטים לשתוק, וסקר איגוד האינטרנט מלמד שהורים רבים אינם מכירים את מנגנוני הדיווח ואינם יודעים כיצד לפעול. יש ללמדם לזהות הסתגרות, ירידה בלימודים, כאבי ראש תכופים, שינוי בהרגלי השינה והאכילה, וכעסים פתאומיים — וגם ללמדם להיכן לפנות</w:t>
      </w:r>
      <w:r w:rsidRPr="00765C32">
        <w:rPr>
          <w:rFonts w:asciiTheme="majorBidi" w:hAnsiTheme="majorBidi" w:cstheme="majorBidi"/>
          <w:sz w:val="24"/>
          <w:szCs w:val="24"/>
        </w:rPr>
        <w:t>.</w:t>
      </w:r>
    </w:p>
    <w:p w14:paraId="42F9DB94"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השלישית — יצירת כתובת בטוחה לפנייה</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אם הילד יודע שיש מי שיקשיב לו — מחנך, רב, יועץ או הורה — גדל הסיכוי שיספר. תפקידנו כקהילה הוא להבטיח שכתובת כזו תהיה זמינה לכל נער ונערה, ושתהיה מוכרת לו. ובעיקר: שישלבו בה את העיקרון שקבע החפץ חיים — שגם מי שאינו יכול לפתור את הבעיה, מצוה עליו לדבר אל הלב</w:t>
      </w:r>
      <w:r w:rsidRPr="00765C32">
        <w:rPr>
          <w:rFonts w:asciiTheme="majorBidi" w:hAnsiTheme="majorBidi" w:cstheme="majorBidi"/>
          <w:sz w:val="24"/>
          <w:szCs w:val="24"/>
        </w:rPr>
        <w:t>.</w:t>
      </w:r>
    </w:p>
    <w:p w14:paraId="06698DFE" w14:textId="2F8B9040"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lastRenderedPageBreak/>
        <w:t xml:space="preserve">הרביעית — </w:t>
      </w:r>
      <w:r>
        <w:rPr>
          <w:rFonts w:asciiTheme="majorBidi" w:hAnsiTheme="majorBidi" w:cstheme="majorBidi" w:hint="cs"/>
          <w:sz w:val="24"/>
          <w:szCs w:val="24"/>
          <w:rtl/>
        </w:rPr>
        <w:t>המשך ה</w:t>
      </w:r>
      <w:r w:rsidRPr="00765C32">
        <w:rPr>
          <w:rFonts w:asciiTheme="majorBidi" w:hAnsiTheme="majorBidi" w:cstheme="majorBidi"/>
          <w:sz w:val="24"/>
          <w:szCs w:val="24"/>
          <w:rtl/>
        </w:rPr>
        <w:t xml:space="preserve">שינוי </w:t>
      </w:r>
      <w:r>
        <w:rPr>
          <w:rFonts w:asciiTheme="majorBidi" w:hAnsiTheme="majorBidi" w:cstheme="majorBidi" w:hint="cs"/>
          <w:sz w:val="24"/>
          <w:szCs w:val="24"/>
          <w:rtl/>
        </w:rPr>
        <w:t>ב</w:t>
      </w:r>
      <w:r w:rsidRPr="00765C32">
        <w:rPr>
          <w:rFonts w:asciiTheme="majorBidi" w:hAnsiTheme="majorBidi" w:cstheme="majorBidi"/>
          <w:sz w:val="24"/>
          <w:szCs w:val="24"/>
          <w:rtl/>
        </w:rPr>
        <w:t>שיח הציבורי</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כל עוד החברה תופסת פנייה לעזרה כחולשה או כ"הלשנה", ימשיכו הילדים לשתוק. עלינו לחזק את התפיסה שסיוע לנפגע הוא מצוה, ושהמגן על חברו — הוא הגיבור. בכך אנו גם מחזקים את מה שהציבור שלנו כבר מראה בסקרים: העדפה ברורה של סביבה מוגנת ובטוחה</w:t>
      </w:r>
      <w:r w:rsidRPr="00765C32">
        <w:rPr>
          <w:rFonts w:asciiTheme="majorBidi" w:hAnsiTheme="majorBidi" w:cstheme="majorBidi"/>
          <w:sz w:val="24"/>
          <w:szCs w:val="24"/>
        </w:rPr>
        <w:t>.</w:t>
      </w:r>
    </w:p>
    <w:p w14:paraId="1A78F8DB"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סיכום</w:t>
      </w:r>
    </w:p>
    <w:p w14:paraId="2DEFAA26"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בריונות ברשת אינה "בדיחה של ילדים". היא פגיעה ממשית, מתמשכת, ובעלת השלכות נפשיות כבדות. בחברה מגובשת כמו שלנו, הנזק עלול להיות כבד עוד יותר, בשל החשש מן הדיבורים ומן הפגיעה במשפחה — וכך גם מראים הנתונים, המצביעים על חרם כפגיעה המזוהה ביותר בציבור שלנו. אך דווקא משום כך, יש לנו כלים שאין לאחרים: קהילה מגובשת, מערכת חינוכית ערכית, ומורשת של מוסר דיבור</w:t>
      </w:r>
      <w:r w:rsidRPr="00765C32">
        <w:rPr>
          <w:rFonts w:asciiTheme="majorBidi" w:hAnsiTheme="majorBidi" w:cstheme="majorBidi"/>
          <w:sz w:val="24"/>
          <w:szCs w:val="24"/>
        </w:rPr>
        <w:t>.</w:t>
      </w:r>
    </w:p>
    <w:p w14:paraId="5E5F3D4F"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החפץ חיים לימד אותנו שהדיבור הוא כוח — לחיים ולמוות. ואין צורך להמתין עד שיהיה מאוחר מדי. אם נלמד את ילדינו לדבר בכבוד, נדע להקשיב כשהם מבקשים עזרה, ונבנה סביבם חומת תמיכה — נוכל להפוך את הרשת ממקום של פגיעה למקום של חיים</w:t>
      </w:r>
      <w:r w:rsidRPr="00765C32">
        <w:rPr>
          <w:rFonts w:asciiTheme="majorBidi" w:hAnsiTheme="majorBidi" w:cstheme="majorBidi"/>
          <w:sz w:val="24"/>
          <w:szCs w:val="24"/>
        </w:rPr>
        <w:t>.</w:t>
      </w:r>
    </w:p>
    <w:p w14:paraId="06BFE0CF" w14:textId="77777777" w:rsidR="00765C32" w:rsidRPr="00765C32" w:rsidRDefault="00000000" w:rsidP="00765C32">
      <w:pPr>
        <w:spacing w:line="360" w:lineRule="auto"/>
        <w:rPr>
          <w:rFonts w:asciiTheme="majorBidi" w:hAnsiTheme="majorBidi" w:cstheme="majorBidi"/>
          <w:sz w:val="24"/>
          <w:szCs w:val="24"/>
        </w:rPr>
      </w:pPr>
      <w:r>
        <w:rPr>
          <w:rFonts w:asciiTheme="majorBidi" w:hAnsiTheme="majorBidi" w:cstheme="majorBidi"/>
          <w:sz w:val="24"/>
          <w:szCs w:val="24"/>
        </w:rPr>
        <w:pict w14:anchorId="4271DE83">
          <v:rect id="_x0000_i1025" style="width:0;height:0" o:hralign="right" o:hrstd="t" o:hr="t" fillcolor="#a0a0a0" stroked="f"/>
        </w:pict>
      </w:r>
    </w:p>
    <w:p w14:paraId="0A202843" w14:textId="77777777" w:rsidR="00765C32" w:rsidRPr="00765C32" w:rsidRDefault="00765C32" w:rsidP="00765C32">
      <w:pPr>
        <w:spacing w:line="360" w:lineRule="auto"/>
        <w:rPr>
          <w:rFonts w:asciiTheme="majorBidi" w:hAnsiTheme="majorBidi" w:cstheme="majorBidi"/>
          <w:b/>
          <w:bCs/>
          <w:sz w:val="24"/>
          <w:szCs w:val="24"/>
        </w:rPr>
      </w:pPr>
      <w:r w:rsidRPr="00765C32">
        <w:rPr>
          <w:rFonts w:asciiTheme="majorBidi" w:hAnsiTheme="majorBidi" w:cstheme="majorBidi"/>
          <w:b/>
          <w:bCs/>
          <w:sz w:val="24"/>
          <w:szCs w:val="24"/>
          <w:rtl/>
        </w:rPr>
        <w:t>רשימת מקורות</w:t>
      </w:r>
    </w:p>
    <w:p w14:paraId="0EB55BA0"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איגוד האינטרנט הישראלי</w:t>
      </w:r>
      <w:r w:rsidRPr="00765C32">
        <w:rPr>
          <w:rFonts w:asciiTheme="majorBidi" w:hAnsiTheme="majorBidi" w:cstheme="majorBidi"/>
          <w:sz w:val="24"/>
          <w:szCs w:val="24"/>
        </w:rPr>
        <w:t xml:space="preserve">. (2024). </w:t>
      </w:r>
      <w:r w:rsidRPr="00765C32">
        <w:rPr>
          <w:rFonts w:asciiTheme="majorBidi" w:hAnsiTheme="majorBidi" w:cstheme="majorBidi"/>
          <w:i/>
          <w:iCs/>
          <w:sz w:val="24"/>
          <w:szCs w:val="24"/>
          <w:rtl/>
        </w:rPr>
        <w:t>סקר מוגנות האינטרנט הישראלי: שיח אלים, פגיעות רשת והתמודדות, 2023–2024</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תל אביב: איגוד האינטרנט הישראלי</w:t>
      </w:r>
      <w:r w:rsidRPr="00765C32">
        <w:rPr>
          <w:rFonts w:asciiTheme="majorBidi" w:hAnsiTheme="majorBidi" w:cstheme="majorBidi"/>
          <w:sz w:val="24"/>
          <w:szCs w:val="24"/>
        </w:rPr>
        <w:t>.</w:t>
      </w:r>
    </w:p>
    <w:p w14:paraId="5E88AEF6"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הקליניקה למשפט וטכנולוגיה, אוניברסיטת חיפה</w:t>
      </w:r>
      <w:r w:rsidRPr="00765C32">
        <w:rPr>
          <w:rFonts w:asciiTheme="majorBidi" w:hAnsiTheme="majorBidi" w:cstheme="majorBidi"/>
          <w:sz w:val="24"/>
          <w:szCs w:val="24"/>
        </w:rPr>
        <w:t xml:space="preserve">. (2015). </w:t>
      </w:r>
      <w:r w:rsidRPr="00765C32">
        <w:rPr>
          <w:rFonts w:asciiTheme="majorBidi" w:hAnsiTheme="majorBidi" w:cstheme="majorBidi"/>
          <w:i/>
          <w:iCs/>
          <w:sz w:val="24"/>
          <w:szCs w:val="24"/>
          <w:rtl/>
        </w:rPr>
        <w:t>בריונות מקוונת — מחקר השוואתי: תמצית נייר עמדה</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חיפה: אוניברסיטת חיפה</w:t>
      </w:r>
      <w:r w:rsidRPr="00765C32">
        <w:rPr>
          <w:rFonts w:asciiTheme="majorBidi" w:hAnsiTheme="majorBidi" w:cstheme="majorBidi"/>
          <w:sz w:val="24"/>
          <w:szCs w:val="24"/>
        </w:rPr>
        <w:t>.</w:t>
      </w:r>
    </w:p>
    <w:p w14:paraId="3CAD0928" w14:textId="1FF3E8D5"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 xml:space="preserve">חפץ חיים, </w:t>
      </w:r>
      <w:r>
        <w:rPr>
          <w:rFonts w:asciiTheme="majorBidi" w:hAnsiTheme="majorBidi" w:cstheme="majorBidi" w:hint="cs"/>
          <w:sz w:val="24"/>
          <w:szCs w:val="24"/>
          <w:rtl/>
        </w:rPr>
        <w:t xml:space="preserve">הרב </w:t>
      </w:r>
      <w:r w:rsidRPr="00765C32">
        <w:rPr>
          <w:rFonts w:asciiTheme="majorBidi" w:hAnsiTheme="majorBidi" w:cstheme="majorBidi"/>
          <w:sz w:val="24"/>
          <w:szCs w:val="24"/>
          <w:rtl/>
        </w:rPr>
        <w:t>ישראל מאיר הכהן</w:t>
      </w:r>
      <w:r w:rsidRPr="00765C32">
        <w:rPr>
          <w:rFonts w:asciiTheme="majorBidi" w:hAnsiTheme="majorBidi" w:cstheme="majorBidi"/>
          <w:sz w:val="24"/>
          <w:szCs w:val="24"/>
        </w:rPr>
        <w:t xml:space="preserve">. </w:t>
      </w:r>
      <w:r w:rsidRPr="00765C32">
        <w:rPr>
          <w:rFonts w:asciiTheme="majorBidi" w:hAnsiTheme="majorBidi" w:cstheme="majorBidi"/>
          <w:i/>
          <w:iCs/>
          <w:sz w:val="24"/>
          <w:szCs w:val="24"/>
          <w:rtl/>
        </w:rPr>
        <w:t>אהבת חסד</w:t>
      </w:r>
      <w:r w:rsidRPr="00765C32">
        <w:rPr>
          <w:rFonts w:asciiTheme="majorBidi" w:hAnsiTheme="majorBidi" w:cstheme="majorBidi"/>
          <w:sz w:val="24"/>
          <w:szCs w:val="24"/>
        </w:rPr>
        <w:t>.</w:t>
      </w:r>
    </w:p>
    <w:p w14:paraId="55450BB0"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tl/>
        </w:rPr>
        <w:t>מרכז המחקר והמידע של הכנסת</w:t>
      </w:r>
      <w:r w:rsidRPr="00765C32">
        <w:rPr>
          <w:rFonts w:asciiTheme="majorBidi" w:hAnsiTheme="majorBidi" w:cstheme="majorBidi"/>
          <w:sz w:val="24"/>
          <w:szCs w:val="24"/>
        </w:rPr>
        <w:t xml:space="preserve">. (2015). </w:t>
      </w:r>
      <w:r w:rsidRPr="00765C32">
        <w:rPr>
          <w:rFonts w:asciiTheme="majorBidi" w:hAnsiTheme="majorBidi" w:cstheme="majorBidi"/>
          <w:i/>
          <w:iCs/>
          <w:sz w:val="24"/>
          <w:szCs w:val="24"/>
          <w:rtl/>
        </w:rPr>
        <w:t>הבריונות המקוונת: תופעה גלובלית</w:t>
      </w:r>
      <w:r w:rsidRPr="00765C32">
        <w:rPr>
          <w:rFonts w:asciiTheme="majorBidi" w:hAnsiTheme="majorBidi" w:cstheme="majorBidi"/>
          <w:sz w:val="24"/>
          <w:szCs w:val="24"/>
        </w:rPr>
        <w:t xml:space="preserve">. </w:t>
      </w:r>
      <w:r w:rsidRPr="00765C32">
        <w:rPr>
          <w:rFonts w:asciiTheme="majorBidi" w:hAnsiTheme="majorBidi" w:cstheme="majorBidi"/>
          <w:sz w:val="24"/>
          <w:szCs w:val="24"/>
          <w:rtl/>
        </w:rPr>
        <w:t>ירושלים: הכנסת</w:t>
      </w:r>
      <w:r w:rsidRPr="00765C32">
        <w:rPr>
          <w:rFonts w:asciiTheme="majorBidi" w:hAnsiTheme="majorBidi" w:cstheme="majorBidi"/>
          <w:sz w:val="24"/>
          <w:szCs w:val="24"/>
        </w:rPr>
        <w:t>.</w:t>
      </w:r>
    </w:p>
    <w:p w14:paraId="54DE35B4" w14:textId="77777777" w:rsidR="00765C32" w:rsidRPr="00765C32" w:rsidRDefault="00765C32" w:rsidP="00765C32">
      <w:pPr>
        <w:spacing w:line="360" w:lineRule="auto"/>
        <w:rPr>
          <w:rFonts w:asciiTheme="majorBidi" w:hAnsiTheme="majorBidi" w:cstheme="majorBidi"/>
          <w:sz w:val="24"/>
          <w:szCs w:val="24"/>
        </w:rPr>
      </w:pPr>
      <w:r w:rsidRPr="00765C32">
        <w:rPr>
          <w:rFonts w:asciiTheme="majorBidi" w:hAnsiTheme="majorBidi" w:cstheme="majorBidi"/>
          <w:sz w:val="24"/>
          <w:szCs w:val="24"/>
        </w:rPr>
        <w:t xml:space="preserve">Kumar, V. L., &amp; Goldstein, M. A. (2020). Cyberbullying and adolescents. </w:t>
      </w:r>
      <w:r w:rsidRPr="00765C32">
        <w:rPr>
          <w:rFonts w:asciiTheme="majorBidi" w:hAnsiTheme="majorBidi" w:cstheme="majorBidi"/>
          <w:i/>
          <w:iCs/>
          <w:sz w:val="24"/>
          <w:szCs w:val="24"/>
        </w:rPr>
        <w:t>Current Pediatrics Reports, 8</w:t>
      </w:r>
      <w:r w:rsidRPr="00765C32">
        <w:rPr>
          <w:rFonts w:asciiTheme="majorBidi" w:hAnsiTheme="majorBidi" w:cstheme="majorBidi"/>
          <w:sz w:val="24"/>
          <w:szCs w:val="24"/>
        </w:rPr>
        <w:t>(3), 86–92.</w:t>
      </w:r>
    </w:p>
    <w:p w14:paraId="0E59898B" w14:textId="77777777" w:rsidR="00A7755A" w:rsidRPr="00765C32" w:rsidRDefault="00A7755A" w:rsidP="00765C32">
      <w:pPr>
        <w:spacing w:line="360" w:lineRule="auto"/>
        <w:rPr>
          <w:rFonts w:asciiTheme="majorBidi" w:hAnsiTheme="majorBidi" w:cstheme="majorBidi"/>
          <w:sz w:val="24"/>
          <w:szCs w:val="24"/>
        </w:rPr>
      </w:pPr>
    </w:p>
    <w:sectPr w:rsidR="00A7755A" w:rsidRPr="00765C32" w:rsidSect="00ED040A">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DF1F4" w14:textId="77777777" w:rsidR="003E556F" w:rsidRDefault="003E556F" w:rsidP="00675F64">
      <w:pPr>
        <w:spacing w:after="0" w:line="240" w:lineRule="auto"/>
      </w:pPr>
      <w:r>
        <w:separator/>
      </w:r>
    </w:p>
  </w:endnote>
  <w:endnote w:type="continuationSeparator" w:id="0">
    <w:p w14:paraId="45A8D4DA" w14:textId="77777777" w:rsidR="003E556F" w:rsidRDefault="003E556F" w:rsidP="0067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2078B" w14:textId="77777777" w:rsidR="003E556F" w:rsidRDefault="003E556F" w:rsidP="00675F64">
      <w:pPr>
        <w:spacing w:after="0" w:line="240" w:lineRule="auto"/>
      </w:pPr>
      <w:r>
        <w:separator/>
      </w:r>
    </w:p>
  </w:footnote>
  <w:footnote w:type="continuationSeparator" w:id="0">
    <w:p w14:paraId="6043796E" w14:textId="77777777" w:rsidR="003E556F" w:rsidRDefault="003E556F" w:rsidP="00675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40F87" w14:textId="459669D1" w:rsidR="00675F64" w:rsidRDefault="00675F64">
    <w:pPr>
      <w:pStyle w:val="ae"/>
    </w:pPr>
    <w:r>
      <w:rPr>
        <w:rFonts w:hint="cs"/>
        <w:rtl/>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C32"/>
    <w:rsid w:val="003E556F"/>
    <w:rsid w:val="00675F64"/>
    <w:rsid w:val="007254F2"/>
    <w:rsid w:val="00765C32"/>
    <w:rsid w:val="007928A7"/>
    <w:rsid w:val="00876A79"/>
    <w:rsid w:val="009B6E90"/>
    <w:rsid w:val="00A7755A"/>
    <w:rsid w:val="00D93E08"/>
    <w:rsid w:val="00ED04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2D9F"/>
  <w15:chartTrackingRefBased/>
  <w15:docId w15:val="{E47F6D8A-4D76-40F0-8F30-F0B43994E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765C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65C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65C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65C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65C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65C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65C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65C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65C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65C32"/>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765C32"/>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765C32"/>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765C32"/>
    <w:rPr>
      <w:rFonts w:eastAsiaTheme="majorEastAsia" w:cstheme="majorBidi"/>
      <w:i/>
      <w:iCs/>
      <w:color w:val="2F5496" w:themeColor="accent1" w:themeShade="BF"/>
    </w:rPr>
  </w:style>
  <w:style w:type="character" w:customStyle="1" w:styleId="50">
    <w:name w:val="כותרת 5 תו"/>
    <w:basedOn w:val="a0"/>
    <w:link w:val="5"/>
    <w:uiPriority w:val="9"/>
    <w:semiHidden/>
    <w:rsid w:val="00765C32"/>
    <w:rPr>
      <w:rFonts w:eastAsiaTheme="majorEastAsia" w:cstheme="majorBidi"/>
      <w:color w:val="2F5496" w:themeColor="accent1" w:themeShade="BF"/>
    </w:rPr>
  </w:style>
  <w:style w:type="character" w:customStyle="1" w:styleId="60">
    <w:name w:val="כותרת 6 תו"/>
    <w:basedOn w:val="a0"/>
    <w:link w:val="6"/>
    <w:uiPriority w:val="9"/>
    <w:semiHidden/>
    <w:rsid w:val="00765C32"/>
    <w:rPr>
      <w:rFonts w:eastAsiaTheme="majorEastAsia" w:cstheme="majorBidi"/>
      <w:i/>
      <w:iCs/>
      <w:color w:val="595959" w:themeColor="text1" w:themeTint="A6"/>
    </w:rPr>
  </w:style>
  <w:style w:type="character" w:customStyle="1" w:styleId="70">
    <w:name w:val="כותרת 7 תו"/>
    <w:basedOn w:val="a0"/>
    <w:link w:val="7"/>
    <w:uiPriority w:val="9"/>
    <w:semiHidden/>
    <w:rsid w:val="00765C32"/>
    <w:rPr>
      <w:rFonts w:eastAsiaTheme="majorEastAsia" w:cstheme="majorBidi"/>
      <w:color w:val="595959" w:themeColor="text1" w:themeTint="A6"/>
    </w:rPr>
  </w:style>
  <w:style w:type="character" w:customStyle="1" w:styleId="80">
    <w:name w:val="כותרת 8 תו"/>
    <w:basedOn w:val="a0"/>
    <w:link w:val="8"/>
    <w:uiPriority w:val="9"/>
    <w:semiHidden/>
    <w:rsid w:val="00765C32"/>
    <w:rPr>
      <w:rFonts w:eastAsiaTheme="majorEastAsia" w:cstheme="majorBidi"/>
      <w:i/>
      <w:iCs/>
      <w:color w:val="272727" w:themeColor="text1" w:themeTint="D8"/>
    </w:rPr>
  </w:style>
  <w:style w:type="character" w:customStyle="1" w:styleId="90">
    <w:name w:val="כותרת 9 תו"/>
    <w:basedOn w:val="a0"/>
    <w:link w:val="9"/>
    <w:uiPriority w:val="9"/>
    <w:semiHidden/>
    <w:rsid w:val="00765C32"/>
    <w:rPr>
      <w:rFonts w:eastAsiaTheme="majorEastAsia" w:cstheme="majorBidi"/>
      <w:color w:val="272727" w:themeColor="text1" w:themeTint="D8"/>
    </w:rPr>
  </w:style>
  <w:style w:type="paragraph" w:styleId="a3">
    <w:name w:val="Title"/>
    <w:basedOn w:val="a"/>
    <w:next w:val="a"/>
    <w:link w:val="a4"/>
    <w:uiPriority w:val="10"/>
    <w:qFormat/>
    <w:rsid w:val="00765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765C3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5C32"/>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765C3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65C32"/>
    <w:pPr>
      <w:spacing w:before="160"/>
      <w:jc w:val="center"/>
    </w:pPr>
    <w:rPr>
      <w:i/>
      <w:iCs/>
      <w:color w:val="404040" w:themeColor="text1" w:themeTint="BF"/>
    </w:rPr>
  </w:style>
  <w:style w:type="character" w:customStyle="1" w:styleId="a8">
    <w:name w:val="ציטוט תו"/>
    <w:basedOn w:val="a0"/>
    <w:link w:val="a7"/>
    <w:uiPriority w:val="29"/>
    <w:rsid w:val="00765C32"/>
    <w:rPr>
      <w:i/>
      <w:iCs/>
      <w:color w:val="404040" w:themeColor="text1" w:themeTint="BF"/>
    </w:rPr>
  </w:style>
  <w:style w:type="paragraph" w:styleId="a9">
    <w:name w:val="List Paragraph"/>
    <w:basedOn w:val="a"/>
    <w:uiPriority w:val="34"/>
    <w:qFormat/>
    <w:rsid w:val="00765C32"/>
    <w:pPr>
      <w:ind w:left="720"/>
      <w:contextualSpacing/>
    </w:pPr>
  </w:style>
  <w:style w:type="character" w:styleId="aa">
    <w:name w:val="Intense Emphasis"/>
    <w:basedOn w:val="a0"/>
    <w:uiPriority w:val="21"/>
    <w:qFormat/>
    <w:rsid w:val="00765C32"/>
    <w:rPr>
      <w:i/>
      <w:iCs/>
      <w:color w:val="2F5496" w:themeColor="accent1" w:themeShade="BF"/>
    </w:rPr>
  </w:style>
  <w:style w:type="paragraph" w:styleId="ab">
    <w:name w:val="Intense Quote"/>
    <w:basedOn w:val="a"/>
    <w:next w:val="a"/>
    <w:link w:val="ac"/>
    <w:uiPriority w:val="30"/>
    <w:qFormat/>
    <w:rsid w:val="00765C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765C32"/>
    <w:rPr>
      <w:i/>
      <w:iCs/>
      <w:color w:val="2F5496" w:themeColor="accent1" w:themeShade="BF"/>
    </w:rPr>
  </w:style>
  <w:style w:type="character" w:styleId="ad">
    <w:name w:val="Intense Reference"/>
    <w:basedOn w:val="a0"/>
    <w:uiPriority w:val="32"/>
    <w:qFormat/>
    <w:rsid w:val="00765C32"/>
    <w:rPr>
      <w:b/>
      <w:bCs/>
      <w:smallCaps/>
      <w:color w:val="2F5496" w:themeColor="accent1" w:themeShade="BF"/>
      <w:spacing w:val="5"/>
    </w:rPr>
  </w:style>
  <w:style w:type="paragraph" w:styleId="ae">
    <w:name w:val="header"/>
    <w:basedOn w:val="a"/>
    <w:link w:val="af"/>
    <w:uiPriority w:val="99"/>
    <w:unhideWhenUsed/>
    <w:rsid w:val="00675F64"/>
    <w:pPr>
      <w:tabs>
        <w:tab w:val="center" w:pos="4153"/>
        <w:tab w:val="right" w:pos="8306"/>
      </w:tabs>
      <w:spacing w:after="0" w:line="240" w:lineRule="auto"/>
    </w:pPr>
  </w:style>
  <w:style w:type="character" w:customStyle="1" w:styleId="af">
    <w:name w:val="כותרת עליונה תו"/>
    <w:basedOn w:val="a0"/>
    <w:link w:val="ae"/>
    <w:uiPriority w:val="99"/>
    <w:rsid w:val="00675F64"/>
  </w:style>
  <w:style w:type="paragraph" w:styleId="af0">
    <w:name w:val="footer"/>
    <w:basedOn w:val="a"/>
    <w:link w:val="af1"/>
    <w:uiPriority w:val="99"/>
    <w:unhideWhenUsed/>
    <w:rsid w:val="00675F64"/>
    <w:pPr>
      <w:tabs>
        <w:tab w:val="center" w:pos="4153"/>
        <w:tab w:val="right" w:pos="8306"/>
      </w:tabs>
      <w:spacing w:after="0" w:line="240" w:lineRule="auto"/>
    </w:pPr>
  </w:style>
  <w:style w:type="character" w:customStyle="1" w:styleId="af1">
    <w:name w:val="כותרת תחתונה תו"/>
    <w:basedOn w:val="a0"/>
    <w:link w:val="af0"/>
    <w:uiPriority w:val="99"/>
    <w:rsid w:val="00675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1629</Words>
  <Characters>8146</Characters>
  <Application>Microsoft Office Word</Application>
  <DocSecurity>0</DocSecurity>
  <Lines>67</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2026-10-28T09:11:00Z</dcterms:created>
  <dcterms:modified xsi:type="dcterms:W3CDTF">2026-11-02T21:11:00Z</dcterms:modified>
</cp:coreProperties>
</file>